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BD9" w:rsidRDefault="009F5BD9" w:rsidP="009F5BD9">
      <w:pPr>
        <w:jc w:val="center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Style w:val="a3"/>
          <w:rFonts w:ascii="Arial" w:hAnsi="Arial" w:cs="Arial"/>
          <w:color w:val="2C2D2E"/>
          <w:sz w:val="23"/>
          <w:szCs w:val="23"/>
          <w:shd w:val="clear" w:color="auto" w:fill="FFFFFF"/>
        </w:rPr>
        <w:t>Осложнение обстановки с пожарами и гибелью людей произошло в Иркутской области за прошедшую неделю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.</w:t>
      </w:r>
    </w:p>
    <w:p w:rsidR="009F5BD9" w:rsidRDefault="009F5BD9" w:rsidP="009F5BD9">
      <w:pPr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 Прибайкалье произошло 90 пожаров, погибли пять человек, четыре человека получили травмы.</w:t>
      </w:r>
    </w:p>
    <w:p w:rsidR="009F5BD9" w:rsidRDefault="009F5BD9" w:rsidP="009F5BD9">
      <w:pPr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Большая часть пожаров приходится на частные жилые дома – 43,3%. Больше 30% пожаров произошло в надворных постройках,15% пожаров зарегистрировано в многоквартирных домах, 11% пожаров – в дачных домах.</w:t>
      </w:r>
    </w:p>
    <w:p w:rsidR="008110CA" w:rsidRDefault="009F5BD9" w:rsidP="009F5BD9">
      <w:pPr>
        <w:jc w:val="both"/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!ПРИЧИНЫ</w:t>
      </w:r>
      <w:proofErr w:type="gramStart"/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Б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олее половины всех пожаров за неделю (53%) произошло из-за нарушения правил устройства и эксплуатации электрооборудования. На втором месте – неосторожное обращение с огнём – 27% всех пожаров происходит по этой причине. Из-за нарушения правил устройства и эксплуатации печного отопления произошло 12,5% всех пожаров за неделю.</w:t>
      </w:r>
    </w:p>
    <w:sectPr w:rsidR="008110CA" w:rsidSect="00811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BD9"/>
    <w:rsid w:val="008110CA"/>
    <w:rsid w:val="009F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5B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2023-11-27T11:04:00Z</dcterms:created>
  <dcterms:modified xsi:type="dcterms:W3CDTF">2023-11-27T11:05:00Z</dcterms:modified>
</cp:coreProperties>
</file>